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黑体" w:hAnsi="黑体" w:eastAsia="黑体"/>
          <w:color w:val="auto"/>
          <w:sz w:val="32"/>
          <w:szCs w:val="32"/>
          <w:u w:val="none"/>
        </w:rPr>
      </w:pPr>
      <w:r>
        <w:rPr>
          <w:rFonts w:ascii="黑体" w:hAnsi="黑体" w:eastAsia="黑体"/>
          <w:color w:val="auto"/>
          <w:sz w:val="32"/>
          <w:szCs w:val="32"/>
          <w:u w:val="none"/>
        </w:rPr>
        <w:t>附件2</w:t>
      </w:r>
    </w:p>
    <w:p>
      <w:pPr>
        <w:widowControl/>
        <w:adjustRightInd w:val="0"/>
        <w:snapToGrid w:val="0"/>
        <w:spacing w:line="560" w:lineRule="exact"/>
        <w:jc w:val="left"/>
        <w:rPr>
          <w:rFonts w:ascii="黑体" w:hAnsi="黑体" w:eastAsia="黑体"/>
          <w:color w:val="auto"/>
          <w:sz w:val="32"/>
          <w:szCs w:val="32"/>
          <w:u w:val="none"/>
        </w:rPr>
      </w:pPr>
    </w:p>
    <w:p>
      <w:pPr>
        <w:spacing w:line="700" w:lineRule="exact"/>
        <w:jc w:val="center"/>
        <w:rPr>
          <w:rFonts w:hint="eastAsia" w:ascii="Times New Roman" w:hAnsi="Times New Roman" w:eastAsia="方正小标宋简体"/>
          <w:color w:val="auto"/>
          <w:w w:val="90"/>
          <w:sz w:val="44"/>
          <w:szCs w:val="44"/>
          <w:u w:val="none"/>
        </w:rPr>
      </w:pPr>
      <w:bookmarkStart w:id="0" w:name="_GoBack"/>
      <w:r>
        <w:rPr>
          <w:rFonts w:ascii="Times New Roman" w:hAnsi="Times New Roman" w:eastAsia="方正小标宋简体"/>
          <w:color w:val="auto"/>
          <w:w w:val="90"/>
          <w:sz w:val="44"/>
          <w:szCs w:val="44"/>
          <w:u w:val="none"/>
        </w:rPr>
        <w:t>瓮安县</w:t>
      </w:r>
      <w:r>
        <w:rPr>
          <w:rFonts w:hint="eastAsia" w:ascii="Times New Roman" w:hAnsi="Times New Roman" w:eastAsia="方正小标宋简体"/>
          <w:color w:val="auto"/>
          <w:w w:val="90"/>
          <w:sz w:val="44"/>
          <w:szCs w:val="44"/>
          <w:u w:val="none"/>
          <w:lang w:eastAsia="zh-CN"/>
        </w:rPr>
        <w:t>2023</w:t>
      </w:r>
      <w:r>
        <w:rPr>
          <w:rFonts w:ascii="Times New Roman" w:hAnsi="Times New Roman" w:eastAsia="方正小标宋简体"/>
          <w:color w:val="auto"/>
          <w:w w:val="90"/>
          <w:sz w:val="44"/>
          <w:szCs w:val="44"/>
          <w:u w:val="none"/>
        </w:rPr>
        <w:t>年特岗教师招聘各学段各学科</w:t>
      </w:r>
    </w:p>
    <w:p>
      <w:pPr>
        <w:spacing w:line="700" w:lineRule="exact"/>
        <w:jc w:val="center"/>
        <w:rPr>
          <w:rFonts w:hint="eastAsia" w:ascii="Times New Roman" w:hAnsi="Times New Roman" w:eastAsia="方正小标宋简体"/>
          <w:color w:val="auto"/>
          <w:w w:val="90"/>
          <w:sz w:val="44"/>
          <w:szCs w:val="44"/>
          <w:u w:val="none"/>
        </w:rPr>
      </w:pPr>
      <w:r>
        <w:rPr>
          <w:rFonts w:ascii="Times New Roman" w:hAnsi="Times New Roman" w:eastAsia="方正小标宋简体"/>
          <w:color w:val="auto"/>
          <w:w w:val="90"/>
          <w:sz w:val="44"/>
          <w:szCs w:val="44"/>
          <w:u w:val="none"/>
        </w:rPr>
        <w:t>对应专业范围</w:t>
      </w:r>
    </w:p>
    <w:bookmarkEnd w:id="0"/>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olor w:val="auto"/>
          <w:w w:val="90"/>
          <w:sz w:val="44"/>
          <w:szCs w:val="44"/>
          <w:u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kern w:val="0"/>
          <w:sz w:val="32"/>
          <w:szCs w:val="32"/>
          <w:u w:val="none"/>
        </w:rPr>
        <w:t>根据《省教育厅 省委编办 省财政厅 省人力资源社会保障厅关于印发贵州省2023年“特岗计划”实施方案的通知》（黔教函〔2023〕58号）和</w:t>
      </w:r>
      <w:r>
        <w:rPr>
          <w:rFonts w:hint="eastAsia" w:ascii="仿宋_GB2312" w:hAnsi="仿宋_GB2312" w:eastAsia="仿宋_GB2312" w:cs="仿宋_GB2312"/>
          <w:color w:val="auto"/>
          <w:sz w:val="32"/>
          <w:szCs w:val="32"/>
          <w:u w:val="none"/>
        </w:rPr>
        <w:t>《州委编办 州教育局 州财政局 州人力资源社会保障局关于印发〈黔南州</w:t>
      </w:r>
      <w:r>
        <w:rPr>
          <w:rFonts w:hint="eastAsia" w:ascii="仿宋_GB2312" w:hAnsi="仿宋_GB2312" w:eastAsia="仿宋_GB2312" w:cs="仿宋_GB2312"/>
          <w:color w:val="auto"/>
          <w:sz w:val="32"/>
          <w:szCs w:val="32"/>
          <w:u w:val="none"/>
          <w:lang w:eastAsia="zh-CN"/>
        </w:rPr>
        <w:t>2023</w:t>
      </w:r>
      <w:r>
        <w:rPr>
          <w:rFonts w:hint="eastAsia" w:ascii="仿宋_GB2312" w:hAnsi="仿宋_GB2312" w:eastAsia="仿宋_GB2312" w:cs="仿宋_GB2312"/>
          <w:color w:val="auto"/>
          <w:sz w:val="32"/>
          <w:szCs w:val="32"/>
          <w:u w:val="none"/>
        </w:rPr>
        <w:t>年“特岗计划”</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方案〉的通知》（黔南教函〔</w:t>
      </w:r>
      <w:r>
        <w:rPr>
          <w:rFonts w:hint="eastAsia" w:ascii="仿宋_GB2312" w:hAnsi="仿宋_GB2312" w:eastAsia="仿宋_GB2312" w:cs="仿宋_GB2312"/>
          <w:color w:val="auto"/>
          <w:sz w:val="32"/>
          <w:szCs w:val="32"/>
          <w:u w:val="none"/>
          <w:lang w:eastAsia="zh-CN"/>
        </w:rPr>
        <w:t>2023</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kern w:val="0"/>
          <w:sz w:val="32"/>
          <w:szCs w:val="32"/>
          <w:u w:val="none"/>
        </w:rPr>
        <w:t>文件精神</w:t>
      </w:r>
      <w:r>
        <w:rPr>
          <w:rFonts w:hint="eastAsia" w:ascii="仿宋_GB2312" w:hAnsi="仿宋_GB2312" w:eastAsia="仿宋_GB2312" w:cs="仿宋_GB2312"/>
          <w:bCs/>
          <w:color w:val="auto"/>
          <w:sz w:val="32"/>
          <w:szCs w:val="32"/>
          <w:u w:val="none"/>
        </w:rPr>
        <w:t>，参照黔南州教育局《关于规范我州2019年特岗教师第一阶段招聘各学段各学科对应专业范围的通知》（黔南教发〔2019〕47号）文件精神，</w:t>
      </w:r>
      <w:r>
        <w:rPr>
          <w:rFonts w:hint="eastAsia" w:ascii="仿宋_GB2312" w:hAnsi="仿宋_GB2312" w:eastAsia="仿宋_GB2312" w:cs="仿宋_GB2312"/>
          <w:bCs/>
          <w:color w:val="auto"/>
          <w:sz w:val="32"/>
          <w:szCs w:val="32"/>
          <w:u w:val="none"/>
          <w:lang w:eastAsia="zh-CN"/>
        </w:rPr>
        <w:t>结合我县实际，考生报考我县除具有本方案规定的相应学段学科教师资格证外，还需符合以下学科专业要求。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auto"/>
          <w:kern w:val="0"/>
          <w:sz w:val="32"/>
          <w:szCs w:val="32"/>
          <w:u w:val="none"/>
          <w:lang w:eastAsia="zh-CN" w:bidi="ar"/>
        </w:rPr>
      </w:pPr>
      <w:r>
        <w:rPr>
          <w:rFonts w:hint="eastAsia" w:ascii="Times New Roman" w:hAnsi="Times New Roman" w:eastAsia="黑体"/>
          <w:color w:val="auto"/>
          <w:kern w:val="0"/>
          <w:sz w:val="32"/>
          <w:szCs w:val="32"/>
          <w:u w:val="none"/>
          <w:lang w:eastAsia="zh-CN" w:bidi="ar"/>
        </w:rPr>
        <w:t>一、硕士研究生及以上学历不限专业，但需凭本人教师资格证学科学段报考相应学科学段岗位。</w:t>
      </w:r>
      <w:r>
        <w:rPr>
          <w:rFonts w:hint="eastAsia" w:ascii="黑体" w:hAnsi="黑体" w:eastAsia="黑体" w:cs="黑体"/>
          <w:color w:val="auto"/>
          <w:kern w:val="0"/>
          <w:sz w:val="32"/>
          <w:szCs w:val="32"/>
          <w:u w:val="none"/>
          <w:lang w:eastAsia="zh-CN" w:bidi="ar"/>
        </w:rPr>
        <w:t>本科学历专业为小学教育、</w:t>
      </w:r>
      <w:r>
        <w:rPr>
          <w:rFonts w:hint="eastAsia" w:ascii="黑体" w:hAnsi="黑体" w:eastAsia="黑体" w:cs="黑体"/>
          <w:color w:val="auto"/>
          <w:kern w:val="0"/>
          <w:sz w:val="32"/>
          <w:szCs w:val="32"/>
          <w:u w:val="none"/>
          <w:lang w:bidi="ar"/>
        </w:rPr>
        <w:t>基础教育、初等教育、义务教育</w:t>
      </w:r>
      <w:r>
        <w:rPr>
          <w:rFonts w:hint="eastAsia" w:ascii="黑体" w:hAnsi="黑体" w:eastAsia="黑体" w:cs="黑体"/>
          <w:color w:val="auto"/>
          <w:kern w:val="0"/>
          <w:sz w:val="32"/>
          <w:szCs w:val="32"/>
          <w:u w:val="none"/>
          <w:lang w:eastAsia="zh-CN" w:bidi="ar"/>
        </w:rPr>
        <w:t>、教育学的以本人教师资格证学科学段报考相应学科学段岗位。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Times New Roman" w:hAnsi="Times New Roman" w:eastAsia="黑体"/>
          <w:color w:val="auto"/>
          <w:kern w:val="0"/>
          <w:sz w:val="32"/>
          <w:szCs w:val="32"/>
          <w:u w:val="none"/>
          <w:lang w:eastAsia="zh-CN" w:bidi="ar"/>
        </w:rPr>
        <w:t>二</w:t>
      </w:r>
      <w:r>
        <w:rPr>
          <w:rFonts w:ascii="Times New Roman" w:hAnsi="Times New Roman" w:eastAsia="黑体"/>
          <w:color w:val="auto"/>
          <w:kern w:val="0"/>
          <w:sz w:val="32"/>
          <w:szCs w:val="32"/>
          <w:u w:val="none"/>
          <w:lang w:bidi="ar"/>
        </w:rPr>
        <w:t xml:space="preserve">、语文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b/>
          <w:bCs/>
          <w:color w:val="auto"/>
          <w:kern w:val="0"/>
          <w:sz w:val="32"/>
          <w:szCs w:val="32"/>
          <w:u w:val="none"/>
          <w:lang w:bidi="ar"/>
        </w:rPr>
        <w:t>本科：</w:t>
      </w:r>
      <w:r>
        <w:rPr>
          <w:rFonts w:hint="eastAsia" w:ascii="仿宋_GB2312" w:hAnsi="仿宋_GB2312" w:eastAsia="仿宋_GB2312" w:cs="仿宋_GB2312"/>
          <w:color w:val="auto"/>
          <w:kern w:val="0"/>
          <w:sz w:val="32"/>
          <w:szCs w:val="32"/>
          <w:u w:val="none"/>
          <w:lang w:bidi="ar"/>
        </w:rPr>
        <w:t>汉语言文学、汉语言、汉语国际教育、中国少数民族语言文学、古典文献学、应用语言学</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华文教育、人文教育、汉语言文学教育、对外汉语、汉语言翻译、师范类汉语言文学。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Times New Roman" w:hAnsi="Times New Roman" w:eastAsia="黑体"/>
          <w:color w:val="auto"/>
          <w:kern w:val="0"/>
          <w:sz w:val="32"/>
          <w:szCs w:val="32"/>
          <w:u w:val="none"/>
          <w:lang w:eastAsia="zh-CN" w:bidi="ar"/>
        </w:rPr>
        <w:t>二</w:t>
      </w:r>
      <w:r>
        <w:rPr>
          <w:rFonts w:hint="eastAsia" w:ascii="Times New Roman" w:hAnsi="Times New Roman" w:eastAsia="黑体"/>
          <w:color w:val="auto"/>
          <w:kern w:val="0"/>
          <w:sz w:val="32"/>
          <w:szCs w:val="32"/>
          <w:u w:val="none"/>
          <w:lang w:bidi="ar"/>
        </w:rPr>
        <w:t xml:space="preserve">、数学 </w:t>
      </w:r>
      <w:r>
        <w:rPr>
          <w:rFonts w:hint="eastAsia" w:ascii="仿宋_GB2312" w:hAnsi="仿宋_GB2312" w:eastAsia="仿宋_GB2312" w:cs="仿宋_GB2312"/>
          <w:color w:val="auto"/>
          <w:kern w:val="0"/>
          <w:sz w:val="32"/>
          <w:szCs w:val="32"/>
          <w:u w:val="none"/>
          <w:lang w:bidi="ar"/>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b/>
          <w:bCs/>
          <w:color w:val="auto"/>
          <w:kern w:val="0"/>
          <w:sz w:val="32"/>
          <w:szCs w:val="32"/>
          <w:u w:val="none"/>
          <w:lang w:bidi="ar"/>
        </w:rPr>
        <w:t>本科：</w:t>
      </w:r>
      <w:r>
        <w:rPr>
          <w:rFonts w:hint="eastAsia" w:ascii="仿宋_GB2312" w:hAnsi="仿宋_GB2312" w:eastAsia="仿宋_GB2312" w:cs="仿宋_GB2312"/>
          <w:color w:val="auto"/>
          <w:kern w:val="0"/>
          <w:sz w:val="32"/>
          <w:szCs w:val="32"/>
          <w:u w:val="none"/>
          <w:lang w:bidi="ar"/>
        </w:rPr>
        <w:t>数学与应用数学、信息与计算科学、数理基础科学、数据计算及应用</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数学、数学教育。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eastAsia="zh-CN" w:bidi="ar"/>
        </w:rPr>
        <w:t>四</w:t>
      </w:r>
      <w:r>
        <w:rPr>
          <w:rFonts w:hint="eastAsia" w:ascii="Times New Roman" w:hAnsi="Times New Roman" w:eastAsia="黑体"/>
          <w:color w:val="auto"/>
          <w:kern w:val="0"/>
          <w:sz w:val="32"/>
          <w:szCs w:val="32"/>
          <w:u w:val="none"/>
          <w:lang w:bidi="ar"/>
        </w:rPr>
        <w:t xml:space="preserve">、英语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u w:val="none"/>
          <w:lang w:eastAsia="zh-CN" w:bidi="ar"/>
        </w:rPr>
      </w:pPr>
      <w:r>
        <w:rPr>
          <w:rFonts w:hint="eastAsia" w:ascii="仿宋_GB2312" w:hAnsi="仿宋_GB2312" w:eastAsia="仿宋_GB2312" w:cs="仿宋_GB2312"/>
          <w:b/>
          <w:bCs/>
          <w:color w:val="auto"/>
          <w:kern w:val="0"/>
          <w:sz w:val="32"/>
          <w:szCs w:val="32"/>
          <w:u w:val="none"/>
          <w:lang w:bidi="ar"/>
        </w:rPr>
        <w:t>本科：</w:t>
      </w:r>
      <w:r>
        <w:rPr>
          <w:rFonts w:hint="eastAsia" w:ascii="仿宋_GB2312" w:hAnsi="仿宋_GB2312" w:eastAsia="仿宋_GB2312" w:cs="仿宋_GB2312"/>
          <w:color w:val="auto"/>
          <w:kern w:val="0"/>
          <w:sz w:val="32"/>
          <w:szCs w:val="32"/>
          <w:u w:val="none"/>
          <w:lang w:bidi="ar"/>
        </w:rPr>
        <w:t>英语、翻译、英语翻译、英语教育、经贸英语、商务英语、外贸英语、旅游英语</w:t>
      </w:r>
      <w:r>
        <w:rPr>
          <w:rFonts w:hint="eastAsia" w:ascii="仿宋_GB2312" w:hAnsi="仿宋_GB2312" w:eastAsia="仿宋_GB2312" w:cs="仿宋_GB2312"/>
          <w:color w:val="auto"/>
          <w:kern w:val="0"/>
          <w:sz w:val="32"/>
          <w:szCs w:val="32"/>
          <w:u w:val="none"/>
          <w:lang w:eastAsia="zh-CN" w:bidi="ar"/>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eastAsia="zh-CN" w:bidi="ar"/>
        </w:rPr>
        <w:t>五</w:t>
      </w:r>
      <w:r>
        <w:rPr>
          <w:rFonts w:hint="eastAsia" w:ascii="Times New Roman" w:hAnsi="Times New Roman" w:eastAsia="黑体"/>
          <w:color w:val="auto"/>
          <w:kern w:val="0"/>
          <w:sz w:val="32"/>
          <w:szCs w:val="32"/>
          <w:u w:val="none"/>
          <w:lang w:bidi="ar"/>
        </w:rPr>
        <w:t>、地理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b/>
          <w:bCs/>
          <w:color w:val="auto"/>
          <w:kern w:val="0"/>
          <w:sz w:val="32"/>
          <w:szCs w:val="32"/>
          <w:u w:val="none"/>
          <w:lang w:bidi="ar"/>
        </w:rPr>
        <w:t>本科：</w:t>
      </w:r>
      <w:r>
        <w:rPr>
          <w:rFonts w:hint="eastAsia" w:ascii="仿宋_GB2312" w:hAnsi="仿宋_GB2312" w:eastAsia="仿宋_GB2312" w:cs="仿宋_GB2312"/>
          <w:color w:val="auto"/>
          <w:kern w:val="0"/>
          <w:sz w:val="32"/>
          <w:szCs w:val="32"/>
          <w:u w:val="none"/>
          <w:lang w:bidi="ar"/>
        </w:rPr>
        <w:t>地理科学、自然地理与资源环境、人文地理与城乡规划、地理信息科学</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人文教育</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地理教育。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FFFFFF"/>
        </w:rPr>
      </w:pPr>
      <w:r>
        <w:rPr>
          <w:rFonts w:hint="eastAsia" w:ascii="Times New Roman" w:hAnsi="Times New Roman" w:eastAsia="黑体"/>
          <w:color w:val="auto"/>
          <w:kern w:val="0"/>
          <w:sz w:val="32"/>
          <w:szCs w:val="32"/>
          <w:u w:val="none"/>
          <w:lang w:eastAsia="zh-CN" w:bidi="ar"/>
        </w:rPr>
        <w:t>六</w:t>
      </w:r>
      <w:r>
        <w:rPr>
          <w:rFonts w:hint="eastAsia" w:ascii="Times New Roman" w:hAnsi="Times New Roman" w:eastAsia="黑体"/>
          <w:color w:val="auto"/>
          <w:kern w:val="0"/>
          <w:sz w:val="32"/>
          <w:szCs w:val="32"/>
          <w:u w:val="none"/>
          <w:lang w:bidi="ar"/>
        </w:rPr>
        <w:t>、历史</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lang w:eastAsia="zh-CN"/>
        </w:rPr>
      </w:pPr>
      <w:r>
        <w:rPr>
          <w:rStyle w:val="10"/>
          <w:rFonts w:hint="eastAsia" w:ascii="仿宋_GB2312" w:hAnsi="仿宋_GB2312" w:eastAsia="仿宋_GB2312" w:cs="仿宋_GB2312"/>
          <w:bCs/>
          <w:color w:val="auto"/>
          <w:sz w:val="32"/>
          <w:szCs w:val="32"/>
          <w:u w:val="none"/>
          <w:shd w:val="clear" w:color="auto" w:fill="FFFFFF"/>
        </w:rPr>
        <w:t>本科</w:t>
      </w:r>
      <w:r>
        <w:rPr>
          <w:rStyle w:val="10"/>
          <w:rFonts w:hint="eastAsia" w:ascii="仿宋_GB2312" w:hAnsi="仿宋_GB2312" w:eastAsia="仿宋_GB2312" w:cs="仿宋_GB2312"/>
          <w:b w:val="0"/>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历史学、世界史、文物与博物馆学、文物保护技术、外国语言与外国历史、文化遗产</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人文教育</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历史教育、考古学</w:t>
      </w:r>
      <w:r>
        <w:rPr>
          <w:rFonts w:hint="eastAsia" w:ascii="仿宋_GB2312" w:hAnsi="仿宋_GB2312" w:eastAsia="仿宋_GB2312" w:cs="仿宋_GB2312"/>
          <w:color w:val="auto"/>
          <w:sz w:val="32"/>
          <w:szCs w:val="32"/>
          <w:u w:val="none"/>
          <w:shd w:val="clear" w:color="auto" w:fill="FFFFFF"/>
          <w:lang w:eastAsia="zh-CN"/>
        </w:rPr>
        <w:t>。</w:t>
      </w:r>
    </w:p>
    <w:p>
      <w:pPr>
        <w:pStyle w:val="5"/>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黑体" w:hAnsi="黑体" w:eastAsia="黑体" w:cs="黑体"/>
          <w:color w:val="auto"/>
          <w:sz w:val="32"/>
          <w:szCs w:val="32"/>
          <w:u w:val="none"/>
          <w:shd w:val="clear" w:color="auto" w:fill="FFFFFF"/>
        </w:rPr>
      </w:pPr>
      <w:r>
        <w:rPr>
          <w:rFonts w:hint="eastAsia" w:ascii="Times New Roman" w:hAnsi="Times New Roman" w:eastAsia="黑体" w:cs="Times New Roman"/>
          <w:color w:val="auto"/>
          <w:sz w:val="32"/>
          <w:szCs w:val="32"/>
          <w:u w:val="none"/>
          <w:lang w:eastAsia="zh-CN" w:bidi="ar"/>
        </w:rPr>
        <w:t>七、</w:t>
      </w:r>
      <w:r>
        <w:rPr>
          <w:rFonts w:hint="eastAsia" w:ascii="Times New Roman" w:hAnsi="Times New Roman" w:eastAsia="黑体" w:cs="Times New Roman"/>
          <w:color w:val="auto"/>
          <w:sz w:val="32"/>
          <w:szCs w:val="32"/>
          <w:u w:val="none"/>
          <w:lang w:bidi="ar"/>
        </w:rPr>
        <w:t>道德与法治(政治)</w:t>
      </w:r>
      <w:r>
        <w:rPr>
          <w:rFonts w:hint="eastAsia" w:ascii="黑体" w:hAnsi="黑体" w:eastAsia="黑体" w:cs="黑体"/>
          <w:color w:val="auto"/>
          <w:sz w:val="32"/>
          <w:szCs w:val="32"/>
          <w:u w:val="none"/>
          <w:shd w:val="clear" w:color="auto" w:fill="FFFFFF"/>
        </w:rPr>
        <w:t>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Fonts w:hint="eastAsia" w:ascii="仿宋_GB2312" w:hAnsi="仿宋_GB2312" w:eastAsia="仿宋_GB2312" w:cs="仿宋_GB2312"/>
          <w:color w:val="auto"/>
          <w:sz w:val="32"/>
          <w:szCs w:val="32"/>
          <w:u w:val="none"/>
          <w:shd w:val="clear" w:color="auto" w:fill="FFFFFF"/>
        </w:rPr>
        <w:t>科学社会主义、中国共产党历史、思想政治教育、马克思主义理论</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政治学与行政学、国际政治、外交学、国际事务与国际关系、政治学、经济学与哲学、国际组织与全球治理</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政治教育。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eastAsia="zh-CN" w:bidi="ar"/>
        </w:rPr>
        <w:t>八</w:t>
      </w:r>
      <w:r>
        <w:rPr>
          <w:rFonts w:hint="eastAsia" w:ascii="Times New Roman" w:hAnsi="Times New Roman" w:eastAsia="黑体"/>
          <w:color w:val="auto"/>
          <w:kern w:val="0"/>
          <w:sz w:val="32"/>
          <w:szCs w:val="32"/>
          <w:u w:val="none"/>
          <w:lang w:bidi="ar"/>
        </w:rPr>
        <w:t>、音乐</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Fonts w:hint="eastAsia" w:ascii="仿宋_GB2312" w:hAnsi="仿宋_GB2312" w:eastAsia="仿宋_GB2312" w:cs="仿宋_GB2312"/>
          <w:color w:val="auto"/>
          <w:sz w:val="32"/>
          <w:szCs w:val="32"/>
          <w:u w:val="none"/>
          <w:shd w:val="clear" w:color="auto" w:fill="FFFFFF"/>
        </w:rPr>
        <w:t>音乐表演、音乐学、作曲与作曲技术理论、舞蹈表演、舞蹈学、舞蹈编导、舞蹈教育、航空服务艺术与管理、流行音乐、音乐治疗、流行舞蹈</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艺术教育、音乐教育。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eastAsia="zh-CN" w:bidi="ar"/>
        </w:rPr>
        <w:t>九</w:t>
      </w:r>
      <w:r>
        <w:rPr>
          <w:rFonts w:hint="eastAsia" w:ascii="Times New Roman" w:hAnsi="Times New Roman" w:eastAsia="黑体"/>
          <w:color w:val="auto"/>
          <w:kern w:val="0"/>
          <w:sz w:val="32"/>
          <w:szCs w:val="32"/>
          <w:u w:val="none"/>
          <w:lang w:bidi="ar"/>
        </w:rPr>
        <w:t xml:space="preserve">、体育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Style w:val="10"/>
          <w:rFonts w:hint="eastAsia" w:ascii="仿宋_GB2312" w:hAnsi="仿宋_GB2312" w:eastAsia="仿宋_GB2312" w:cs="仿宋_GB2312"/>
          <w:bCs/>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体育教育、运动训练、社会体育指导与管理、武术与民族传统体育、运动人体科学、运动康复、休闲体育、体能训练、电子竞技运动与管理、智能体育工程、体育旅游、运动能力开发</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体育与健康教育。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Times New Roman" w:hAnsi="Times New Roman" w:eastAsia="黑体"/>
          <w:color w:val="auto"/>
          <w:kern w:val="0"/>
          <w:sz w:val="32"/>
          <w:szCs w:val="32"/>
          <w:u w:val="none"/>
          <w:lang w:eastAsia="zh-CN" w:bidi="ar"/>
        </w:rPr>
        <w:t>十</w:t>
      </w:r>
      <w:r>
        <w:rPr>
          <w:rFonts w:hint="eastAsia" w:ascii="Times New Roman" w:hAnsi="Times New Roman" w:eastAsia="黑体"/>
          <w:color w:val="auto"/>
          <w:kern w:val="0"/>
          <w:sz w:val="32"/>
          <w:szCs w:val="32"/>
          <w:u w:val="none"/>
          <w:lang w:bidi="ar"/>
        </w:rPr>
        <w:t>、美术</w:t>
      </w:r>
      <w:r>
        <w:rPr>
          <w:rFonts w:hint="eastAsia" w:ascii="黑体" w:hAnsi="黑体" w:eastAsia="黑体" w:cs="黑体"/>
          <w:color w:val="auto"/>
          <w:kern w:val="0"/>
          <w:sz w:val="32"/>
          <w:szCs w:val="32"/>
          <w:u w:val="none"/>
          <w:lang w:bidi="ar"/>
        </w:rPr>
        <w:t xml:space="preserve">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Fonts w:hint="eastAsia" w:ascii="仿宋_GB2312" w:hAnsi="仿宋_GB2312" w:eastAsia="仿宋_GB2312" w:cs="仿宋_GB2312"/>
          <w:color w:val="auto"/>
          <w:sz w:val="32"/>
          <w:szCs w:val="32"/>
          <w:u w:val="none"/>
          <w:shd w:val="clear" w:color="auto" w:fill="FFFFFF"/>
        </w:rPr>
        <w:t>美术学、绘画、雕塑、摄影、书法学、中国画、实验艺术、跨媒体艺术、文物保护与修复、漫画</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艺术设计学、视觉传达设计、环境设计、产品设计、服装与服饰设计、公共艺术、工艺美术、数字媒体艺术、艺术与科技、陶瓷艺术设计、新媒体艺术、包装设计</w:t>
      </w:r>
      <w:r>
        <w:rPr>
          <w:rFonts w:hint="eastAsia" w:ascii="仿宋_GB2312" w:hAnsi="仿宋_GB2312" w:eastAsia="仿宋_GB2312" w:cs="仿宋_GB2312"/>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艺术教育、电脑美术教育、美术教育、摄影、服装艺术设计、室内设计、美术、艺术设计、动画设计、服装设计与工程、动漫设计、游戏艺术设计、环境艺术设计、中国书法。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bidi="ar"/>
        </w:rPr>
        <w:t>十</w:t>
      </w:r>
      <w:r>
        <w:rPr>
          <w:rFonts w:hint="eastAsia" w:ascii="Times New Roman" w:hAnsi="Times New Roman" w:eastAsia="黑体"/>
          <w:color w:val="auto"/>
          <w:kern w:val="0"/>
          <w:sz w:val="32"/>
          <w:szCs w:val="32"/>
          <w:u w:val="none"/>
          <w:lang w:eastAsia="zh-CN" w:bidi="ar"/>
        </w:rPr>
        <w:t>一</w:t>
      </w:r>
      <w:r>
        <w:rPr>
          <w:rFonts w:hint="eastAsia" w:ascii="Times New Roman" w:hAnsi="Times New Roman" w:eastAsia="黑体"/>
          <w:color w:val="auto"/>
          <w:kern w:val="0"/>
          <w:sz w:val="32"/>
          <w:szCs w:val="32"/>
          <w:u w:val="none"/>
          <w:lang w:bidi="ar"/>
        </w:rPr>
        <w:t>、信息</w:t>
      </w:r>
      <w:r>
        <w:rPr>
          <w:rFonts w:hint="eastAsia" w:ascii="Times New Roman" w:hAnsi="Times New Roman" w:eastAsia="黑体"/>
          <w:color w:val="auto"/>
          <w:kern w:val="0"/>
          <w:sz w:val="32"/>
          <w:szCs w:val="32"/>
          <w:u w:val="none"/>
          <w:lang w:eastAsia="zh-CN" w:bidi="ar"/>
        </w:rPr>
        <w:t>科技（信息</w:t>
      </w:r>
      <w:r>
        <w:rPr>
          <w:rFonts w:hint="eastAsia" w:ascii="Times New Roman" w:hAnsi="Times New Roman" w:eastAsia="黑体"/>
          <w:color w:val="auto"/>
          <w:kern w:val="0"/>
          <w:sz w:val="32"/>
          <w:szCs w:val="32"/>
          <w:u w:val="none"/>
          <w:lang w:bidi="ar"/>
        </w:rPr>
        <w:t>技术</w:t>
      </w:r>
      <w:r>
        <w:rPr>
          <w:rFonts w:hint="eastAsia" w:ascii="Times New Roman" w:hAnsi="Times New Roman" w:eastAsia="黑体"/>
          <w:color w:val="auto"/>
          <w:kern w:val="0"/>
          <w:sz w:val="32"/>
          <w:szCs w:val="32"/>
          <w:u w:val="none"/>
          <w:lang w:eastAsia="zh-CN" w:bidi="ar"/>
        </w:rPr>
        <w:t>）</w:t>
      </w:r>
      <w:r>
        <w:rPr>
          <w:rFonts w:hint="eastAsia" w:ascii="Times New Roman" w:hAnsi="Times New Roman" w:eastAsia="黑体"/>
          <w:color w:val="auto"/>
          <w:kern w:val="0"/>
          <w:sz w:val="32"/>
          <w:szCs w:val="32"/>
          <w:u w:val="none"/>
          <w:lang w:bidi="ar"/>
        </w:rPr>
        <w:t xml:space="preserve">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Style w:val="10"/>
          <w:rFonts w:hint="eastAsia" w:ascii="仿宋_GB2312" w:hAnsi="仿宋_GB2312" w:eastAsia="仿宋_GB2312" w:cs="仿宋_GB2312"/>
          <w:bCs/>
          <w:color w:val="auto"/>
          <w:sz w:val="32"/>
          <w:szCs w:val="32"/>
          <w:u w:val="none"/>
          <w:shd w:val="clear" w:color="auto" w:fill="FFFFFF"/>
          <w:lang w:eastAsia="zh-CN"/>
        </w:rPr>
        <w:t>：</w:t>
      </w:r>
      <w:r>
        <w:rPr>
          <w:rFonts w:hint="eastAsia" w:ascii="仿宋_GB2312" w:hAnsi="仿宋_GB2312" w:eastAsia="仿宋_GB2312" w:cs="仿宋_GB2312"/>
          <w:color w:val="auto"/>
          <w:sz w:val="32"/>
          <w:szCs w:val="32"/>
          <w:u w:val="none"/>
          <w:shd w:val="clear" w:color="auto" w:fill="FFFFFF"/>
        </w:rPr>
        <w:t>计算机科学与技术、软件工程、网络工程、信息安全、数字媒体技术、智能科学与技术、空间信息与数字技术、电子与计算机工程、</w:t>
      </w:r>
      <w:r>
        <w:rPr>
          <w:rFonts w:hint="eastAsia" w:ascii="仿宋_GB2312" w:hAnsi="仿宋_GB2312" w:eastAsia="仿宋_GB2312" w:cs="仿宋_GB2312"/>
          <w:color w:val="auto"/>
          <w:sz w:val="32"/>
          <w:szCs w:val="32"/>
          <w:u w:val="none"/>
          <w:shd w:val="clear" w:color="auto" w:fill="FFFFFF"/>
          <w:lang w:eastAsia="zh-CN"/>
        </w:rPr>
        <w:t>电子信息工程、</w:t>
      </w:r>
      <w:r>
        <w:rPr>
          <w:rFonts w:hint="eastAsia" w:ascii="仿宋_GB2312" w:hAnsi="仿宋_GB2312" w:eastAsia="仿宋_GB2312" w:cs="仿宋_GB2312"/>
          <w:color w:val="auto"/>
          <w:sz w:val="32"/>
          <w:szCs w:val="32"/>
          <w:u w:val="none"/>
          <w:shd w:val="clear" w:color="auto" w:fill="FFFFFF"/>
        </w:rPr>
        <w:t>数据科学与大数据技术、教育技术学、教育技术</w:t>
      </w:r>
      <w:r>
        <w:rPr>
          <w:rStyle w:val="10"/>
          <w:rFonts w:hint="eastAsia" w:ascii="仿宋_GB2312" w:hAnsi="仿宋_GB2312" w:eastAsia="仿宋_GB2312" w:cs="仿宋_GB2312"/>
          <w:b w:val="0"/>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计算机及应用、计算机网络、计算机软件、信息技术教育、计算机教育、计算机软件及应用、计算机应用、计算机科学教育、动画、计算机器件及设备、信息安全与网络管理、网络管理、计算机应用软件。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FFFFFF"/>
        </w:rPr>
      </w:pPr>
      <w:r>
        <w:rPr>
          <w:rFonts w:hint="eastAsia" w:ascii="Times New Roman" w:hAnsi="Times New Roman" w:eastAsia="黑体"/>
          <w:color w:val="auto"/>
          <w:kern w:val="0"/>
          <w:sz w:val="32"/>
          <w:szCs w:val="32"/>
          <w:u w:val="none"/>
          <w:lang w:eastAsia="zh-CN" w:bidi="ar"/>
        </w:rPr>
        <w:t>十二、科学</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bidi="ar"/>
        </w:rPr>
        <w:t>本科：</w:t>
      </w:r>
      <w:r>
        <w:rPr>
          <w:rFonts w:hint="eastAsia" w:ascii="仿宋_GB2312" w:hAnsi="仿宋_GB2312" w:eastAsia="仿宋_GB2312" w:cs="仿宋_GB2312"/>
          <w:color w:val="auto"/>
          <w:kern w:val="0"/>
          <w:sz w:val="32"/>
          <w:szCs w:val="32"/>
          <w:u w:val="none"/>
          <w:lang w:bidi="ar"/>
        </w:rPr>
        <w:t>科学教育、物理教育</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物理学</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应用物理学</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核物理</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化学</w:t>
      </w:r>
      <w:r>
        <w:rPr>
          <w:rFonts w:hint="eastAsia" w:ascii="仿宋_GB2312" w:hAnsi="仿宋_GB2312" w:eastAsia="仿宋_GB2312" w:cs="仿宋_GB2312"/>
          <w:color w:val="auto"/>
          <w:kern w:val="0"/>
          <w:sz w:val="32"/>
          <w:szCs w:val="32"/>
          <w:u w:val="none"/>
          <w:lang w:eastAsia="zh-CN" w:bidi="ar"/>
        </w:rPr>
        <w:t>、应用化学、化学生物学、分子科学与工程、化学工程与工艺、制药工程、生物工程、应用生物科学、生物科学、生物技术、生物信息学、</w:t>
      </w:r>
      <w:r>
        <w:rPr>
          <w:rFonts w:hint="eastAsia" w:ascii="仿宋_GB2312" w:hAnsi="仿宋_GB2312" w:eastAsia="仿宋_GB2312" w:cs="仿宋_GB2312"/>
          <w:color w:val="auto"/>
          <w:kern w:val="0"/>
          <w:sz w:val="32"/>
          <w:szCs w:val="32"/>
          <w:u w:val="none"/>
          <w:lang w:bidi="ar"/>
        </w:rPr>
        <w:t>生态学</w:t>
      </w:r>
      <w:r>
        <w:rPr>
          <w:rFonts w:hint="eastAsia" w:ascii="仿宋_GB2312" w:hAnsi="仿宋_GB2312" w:eastAsia="仿宋_GB2312" w:cs="仿宋_GB2312"/>
          <w:b/>
          <w:bCs/>
          <w:color w:val="auto"/>
          <w:kern w:val="0"/>
          <w:sz w:val="32"/>
          <w:szCs w:val="32"/>
          <w:u w:val="none"/>
          <w:lang w:bidi="ar"/>
        </w:rPr>
        <w:t>（需取得小学</w:t>
      </w:r>
      <w:r>
        <w:rPr>
          <w:rFonts w:hint="eastAsia" w:ascii="仿宋_GB2312" w:hAnsi="仿宋_GB2312" w:eastAsia="仿宋_GB2312" w:cs="仿宋_GB2312"/>
          <w:b/>
          <w:bCs/>
          <w:color w:val="auto"/>
          <w:kern w:val="0"/>
          <w:sz w:val="32"/>
          <w:szCs w:val="32"/>
          <w:u w:val="none"/>
          <w:lang w:eastAsia="zh-CN" w:bidi="ar"/>
        </w:rPr>
        <w:t>及以上</w:t>
      </w:r>
      <w:r>
        <w:rPr>
          <w:rFonts w:hint="eastAsia" w:ascii="仿宋_GB2312" w:hAnsi="仿宋_GB2312" w:eastAsia="仿宋_GB2312" w:cs="仿宋_GB2312"/>
          <w:b/>
          <w:bCs/>
          <w:color w:val="auto"/>
          <w:kern w:val="0"/>
          <w:sz w:val="32"/>
          <w:szCs w:val="32"/>
          <w:u w:val="none"/>
          <w:lang w:bidi="ar"/>
        </w:rPr>
        <w:t>科学教师资格证</w:t>
      </w:r>
      <w:r>
        <w:rPr>
          <w:rFonts w:hint="eastAsia" w:ascii="仿宋_GB2312" w:hAnsi="仿宋_GB2312" w:eastAsia="仿宋_GB2312" w:cs="仿宋_GB2312"/>
          <w:b/>
          <w:bCs/>
          <w:color w:val="auto"/>
          <w:kern w:val="0"/>
          <w:sz w:val="32"/>
          <w:szCs w:val="32"/>
          <w:u w:val="none"/>
          <w:lang w:eastAsia="zh-CN" w:bidi="ar"/>
        </w:rPr>
        <w:t>或</w:t>
      </w:r>
      <w:r>
        <w:rPr>
          <w:rFonts w:hint="eastAsia" w:ascii="仿宋_GB2312" w:hAnsi="仿宋_GB2312" w:eastAsia="仿宋_GB2312" w:cs="仿宋_GB2312"/>
          <w:b/>
          <w:bCs/>
          <w:color w:val="auto"/>
          <w:kern w:val="0"/>
          <w:sz w:val="32"/>
          <w:szCs w:val="32"/>
          <w:u w:val="none"/>
          <w:lang w:bidi="ar"/>
        </w:rPr>
        <w:t>初中</w:t>
      </w:r>
      <w:r>
        <w:rPr>
          <w:rFonts w:hint="eastAsia" w:ascii="仿宋_GB2312" w:hAnsi="仿宋_GB2312" w:eastAsia="仿宋_GB2312" w:cs="仿宋_GB2312"/>
          <w:b/>
          <w:bCs/>
          <w:color w:val="auto"/>
          <w:kern w:val="0"/>
          <w:sz w:val="32"/>
          <w:szCs w:val="32"/>
          <w:u w:val="none"/>
          <w:lang w:eastAsia="zh-CN" w:bidi="ar"/>
        </w:rPr>
        <w:t>及以上</w:t>
      </w:r>
      <w:r>
        <w:rPr>
          <w:rFonts w:hint="eastAsia" w:ascii="仿宋_GB2312" w:hAnsi="仿宋_GB2312" w:eastAsia="仿宋_GB2312" w:cs="仿宋_GB2312"/>
          <w:b/>
          <w:bCs/>
          <w:color w:val="auto"/>
          <w:kern w:val="0"/>
          <w:sz w:val="32"/>
          <w:szCs w:val="32"/>
          <w:u w:val="none"/>
          <w:lang w:bidi="ar"/>
        </w:rPr>
        <w:t>物理、化学、生物教师资格证）</w:t>
      </w:r>
      <w:r>
        <w:rPr>
          <w:rFonts w:hint="eastAsia" w:ascii="仿宋_GB2312" w:hAnsi="仿宋_GB2312" w:eastAsia="仿宋_GB2312" w:cs="仿宋_GB2312"/>
          <w:color w:val="auto"/>
          <w:kern w:val="0"/>
          <w:sz w:val="32"/>
          <w:szCs w:val="32"/>
          <w:u w:val="none"/>
          <w:lang w:bidi="ar"/>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color w:val="auto"/>
          <w:u w:val="none"/>
        </w:rPr>
      </w:pPr>
      <w:r>
        <w:rPr>
          <w:rFonts w:hint="eastAsia" w:ascii="Times New Roman" w:hAnsi="Times New Roman" w:eastAsia="黑体"/>
          <w:color w:val="auto"/>
          <w:kern w:val="0"/>
          <w:sz w:val="32"/>
          <w:szCs w:val="32"/>
          <w:u w:val="none"/>
          <w:lang w:eastAsia="zh-CN" w:bidi="ar"/>
        </w:rPr>
        <w:t>十三、心理健康</w:t>
      </w:r>
      <w:r>
        <w:rPr>
          <w:rFonts w:hint="eastAsia" w:ascii="仿宋" w:hAnsi="仿宋" w:eastAsia="仿宋" w:cs="仿宋"/>
          <w:color w:val="auto"/>
          <w:kern w:val="0"/>
          <w:sz w:val="30"/>
          <w:szCs w:val="30"/>
          <w:u w:val="none"/>
          <w:lang w:bidi="ar"/>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u w:val="none"/>
          <w:lang w:eastAsia="zh-CN" w:bidi="ar"/>
        </w:rPr>
      </w:pPr>
      <w:r>
        <w:rPr>
          <w:rFonts w:hint="eastAsia" w:ascii="仿宋_GB2312" w:hAnsi="仿宋_GB2312" w:eastAsia="仿宋_GB2312" w:cs="仿宋_GB2312"/>
          <w:b/>
          <w:bCs/>
          <w:color w:val="auto"/>
          <w:sz w:val="32"/>
          <w:szCs w:val="32"/>
          <w:u w:val="none"/>
          <w:shd w:val="clear" w:color="auto" w:fill="FFFFFF"/>
        </w:rPr>
        <w:t>本科：</w:t>
      </w:r>
      <w:r>
        <w:rPr>
          <w:rFonts w:hint="eastAsia" w:ascii="仿宋_GB2312" w:hAnsi="仿宋_GB2312" w:eastAsia="仿宋_GB2312" w:cs="仿宋_GB2312"/>
          <w:color w:val="auto"/>
          <w:kern w:val="0"/>
          <w:sz w:val="32"/>
          <w:szCs w:val="32"/>
          <w:u w:val="none"/>
          <w:lang w:bidi="ar"/>
        </w:rPr>
        <w:t>心理学、应用心理学</w:t>
      </w:r>
      <w:r>
        <w:rPr>
          <w:rFonts w:hint="eastAsia" w:ascii="仿宋_GB2312" w:hAnsi="仿宋_GB2312" w:eastAsia="仿宋_GB2312" w:cs="仿宋_GB2312"/>
          <w:color w:val="auto"/>
          <w:kern w:val="0"/>
          <w:sz w:val="32"/>
          <w:szCs w:val="32"/>
          <w:u w:val="none"/>
          <w:lang w:eastAsia="zh-CN" w:bidi="ar"/>
        </w:rPr>
        <w:t>、心理健康教育。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黑体"/>
          <w:color w:val="auto"/>
          <w:kern w:val="0"/>
          <w:sz w:val="32"/>
          <w:szCs w:val="32"/>
          <w:u w:val="none"/>
          <w:lang w:bidi="ar"/>
        </w:rPr>
      </w:pPr>
      <w:r>
        <w:rPr>
          <w:rFonts w:hint="eastAsia" w:ascii="Times New Roman" w:hAnsi="Times New Roman" w:eastAsia="黑体"/>
          <w:color w:val="auto"/>
          <w:kern w:val="0"/>
          <w:sz w:val="32"/>
          <w:szCs w:val="32"/>
          <w:u w:val="none"/>
          <w:lang w:bidi="ar"/>
        </w:rPr>
        <w:t>十</w:t>
      </w:r>
      <w:r>
        <w:rPr>
          <w:rFonts w:hint="eastAsia" w:ascii="Times New Roman" w:hAnsi="Times New Roman" w:eastAsia="黑体"/>
          <w:color w:val="auto"/>
          <w:kern w:val="0"/>
          <w:sz w:val="32"/>
          <w:szCs w:val="32"/>
          <w:u w:val="none"/>
          <w:lang w:eastAsia="zh-CN" w:bidi="ar"/>
        </w:rPr>
        <w:t>四</w:t>
      </w:r>
      <w:r>
        <w:rPr>
          <w:rFonts w:hint="eastAsia" w:ascii="Times New Roman" w:hAnsi="Times New Roman" w:eastAsia="黑体"/>
          <w:color w:val="auto"/>
          <w:kern w:val="0"/>
          <w:sz w:val="32"/>
          <w:szCs w:val="32"/>
          <w:u w:val="none"/>
          <w:lang w:bidi="ar"/>
        </w:rPr>
        <w:t xml:space="preserve">、幼儿园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shd w:val="clear" w:color="auto" w:fill="FFFFFF"/>
        </w:rPr>
      </w:pPr>
      <w:r>
        <w:rPr>
          <w:rStyle w:val="10"/>
          <w:rFonts w:hint="eastAsia" w:ascii="仿宋_GB2312" w:hAnsi="仿宋_GB2312" w:eastAsia="仿宋_GB2312" w:cs="仿宋_GB2312"/>
          <w:bCs/>
          <w:color w:val="auto"/>
          <w:sz w:val="32"/>
          <w:szCs w:val="32"/>
          <w:u w:val="none"/>
          <w:shd w:val="clear" w:color="auto" w:fill="FFFFFF"/>
        </w:rPr>
        <w:t>本科</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rPr>
        <w:t>学前教育。</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u w:val="none"/>
        </w:rPr>
      </w:pPr>
      <w:r>
        <w:rPr>
          <w:rStyle w:val="10"/>
          <w:rFonts w:hint="eastAsia" w:ascii="仿宋_GB2312" w:hAnsi="仿宋_GB2312" w:eastAsia="仿宋_GB2312" w:cs="仿宋_GB2312"/>
          <w:bCs/>
          <w:color w:val="auto"/>
          <w:sz w:val="32"/>
          <w:szCs w:val="32"/>
          <w:u w:val="none"/>
          <w:shd w:val="clear" w:color="auto" w:fill="FFFFFF"/>
        </w:rPr>
        <w:t>专科</w:t>
      </w:r>
      <w:r>
        <w:rPr>
          <w:rFonts w:hint="eastAsia" w:ascii="仿宋_GB2312" w:hAnsi="仿宋_GB2312" w:eastAsia="仿宋_GB2312" w:cs="仿宋_GB2312"/>
          <w:color w:val="auto"/>
          <w:sz w:val="32"/>
          <w:szCs w:val="32"/>
          <w:u w:val="none"/>
          <w:shd w:val="clear" w:color="auto" w:fill="FFFFFF"/>
        </w:rPr>
        <w:t>：</w:t>
      </w:r>
      <w:r>
        <w:rPr>
          <w:rFonts w:hint="eastAsia" w:ascii="仿宋_GB2312" w:hAnsi="仿宋_GB2312" w:eastAsia="仿宋_GB2312" w:cs="仿宋_GB2312"/>
          <w:color w:val="auto"/>
          <w:sz w:val="32"/>
          <w:szCs w:val="32"/>
          <w:u w:val="none"/>
          <w:shd w:val="clear" w:color="auto" w:fill="FFFFFF"/>
          <w:lang w:eastAsia="zh-CN"/>
        </w:rPr>
        <w:t>学前教育、</w:t>
      </w:r>
      <w:r>
        <w:rPr>
          <w:rFonts w:hint="eastAsia" w:ascii="仿宋_GB2312" w:hAnsi="仿宋_GB2312" w:eastAsia="仿宋_GB2312" w:cs="仿宋_GB2312"/>
          <w:color w:val="auto"/>
          <w:sz w:val="32"/>
          <w:szCs w:val="32"/>
          <w:u w:val="none"/>
          <w:shd w:val="clear" w:color="auto" w:fill="FFFFFF"/>
        </w:rPr>
        <w:t>早期教育、</w:t>
      </w:r>
      <w:r>
        <w:rPr>
          <w:rFonts w:hint="eastAsia" w:ascii="仿宋_GB2312" w:hAnsi="仿宋_GB2312" w:eastAsia="仿宋_GB2312" w:cs="仿宋_GB2312"/>
          <w:color w:val="auto"/>
          <w:sz w:val="32"/>
          <w:szCs w:val="32"/>
          <w:u w:val="none"/>
          <w:shd w:val="clear" w:color="auto" w:fill="FFFFFF"/>
          <w:lang w:eastAsia="zh-CN"/>
        </w:rPr>
        <w:t>幼儿教育</w:t>
      </w:r>
      <w:r>
        <w:rPr>
          <w:rFonts w:hint="eastAsia" w:ascii="仿宋_GB2312" w:hAnsi="仿宋_GB2312" w:eastAsia="仿宋_GB2312" w:cs="仿宋_GB2312"/>
          <w:color w:val="auto"/>
          <w:sz w:val="32"/>
          <w:szCs w:val="32"/>
          <w:u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kern w:val="0"/>
          <w:sz w:val="32"/>
          <w:szCs w:val="32"/>
          <w:u w:val="none"/>
          <w:lang w:bidi="ar"/>
        </w:rPr>
      </w:pPr>
      <w:r>
        <w:rPr>
          <w:rFonts w:hint="eastAsia" w:ascii="仿宋_GB2312" w:hAnsi="仿宋_GB2312" w:eastAsia="仿宋_GB2312" w:cs="仿宋_GB2312"/>
          <w:b/>
          <w:bCs/>
          <w:color w:val="auto"/>
          <w:kern w:val="0"/>
          <w:sz w:val="32"/>
          <w:szCs w:val="32"/>
          <w:u w:val="none"/>
          <w:lang w:bidi="ar"/>
        </w:rPr>
        <w:t xml:space="preserve">特别说明：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rPr>
        <w:t>1.如果对专业存在争议，以教育部“学信网”查询的考生当年高考录取专业名称为准；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color w:val="auto"/>
          <w:sz w:val="32"/>
          <w:szCs w:val="32"/>
          <w:u w:val="none"/>
          <w:shd w:val="clear" w:color="auto" w:fill="FFFFFF"/>
        </w:rPr>
        <w:t>2.XX专业(XX师资方向、XX教育方向、XX教育、XX方向)，如果(XX师资方向、XX教育方向、XX教育、XX方向)与所报考学科一致，可以报考；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sz w:val="32"/>
          <w:szCs w:val="32"/>
          <w:u w:val="none"/>
          <w:shd w:val="clear" w:color="auto" w:fill="FFFFFF"/>
        </w:rPr>
        <w:t>3.专业涉及更名或整合的,按照教育部2012版普通高等学校本科专业目录新旧专业对照表及2018年高等教育自学考试新旧专业对照表执行</w:t>
      </w:r>
      <w:r>
        <w:rPr>
          <w:rFonts w:hint="eastAsia" w:ascii="仿宋_GB2312" w:hAnsi="仿宋_GB2312" w:eastAsia="仿宋_GB2312" w:cs="仿宋_GB2312"/>
          <w:color w:val="auto"/>
          <w:sz w:val="32"/>
          <w:szCs w:val="32"/>
          <w:u w:val="none"/>
          <w:shd w:val="clear" w:color="auto" w:fill="FFFFFF"/>
          <w:lang w:eastAsia="zh-CN"/>
        </w:rPr>
        <w:t>。</w:t>
      </w: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right="458"/>
      <w:jc w:val="right"/>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18</w:t>
                          </w:r>
                          <w:r>
                            <w:rPr>
                              <w:sz w:val="30"/>
                              <w:szCs w:val="30"/>
                            </w:rPr>
                            <w:fldChar w:fldCharType="end"/>
                          </w:r>
                          <w:r>
                            <w:rPr>
                              <w:sz w:val="30"/>
                              <w:szCs w:val="30"/>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S1BucBAADHAwAADgAAAGRycy9lMm9Eb2MueG1srVNLbtswEN0X6B0I&#10;7mspRl2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NLUG5wEAAMcD&#10;AAAOAAAAAAAAAAEAIAAAAB4BAABkcnMvZTJvRG9jLnhtbFBLBQYAAAAABgAGAFkBAAB3BQAAAAA=&#10;">
              <v:fill on="f" focussize="0,0"/>
              <v:stroke on="f"/>
              <v:imagedata o:title=""/>
              <o:lock v:ext="edit" aspectratio="f"/>
              <v:textbox inset="0mm,0mm,0mm,0mm" style="mso-fit-shape-to-text:t;">
                <w:txbxContent>
                  <w:p>
                    <w:pPr>
                      <w:pStyle w:val="7"/>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18</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MjFkNWZmNjdiZjJlZDFkNWNhYzg4YjZhMThiYzMifQ=="/>
  </w:docVars>
  <w:rsids>
    <w:rsidRoot w:val="021D75B9"/>
    <w:rsid w:val="021D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5"/>
    <w:qFormat/>
    <w:uiPriority w:val="0"/>
    <w:pPr>
      <w:ind w:firstLine="200" w:firstLineChars="200"/>
    </w:pPr>
    <w:rPr>
      <w:rFonts w:ascii="Times New Roman" w:hAnsi="Times New Roman"/>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Times New Roman"/>
      <w:kern w:val="2"/>
      <w:sz w:val="21"/>
      <w:lang w:val="en-US" w:eastAsia="zh-CN" w:bidi="ar-SA"/>
    </w:rPr>
  </w:style>
  <w:style w:type="paragraph" w:styleId="4">
    <w:name w:val="Body Text"/>
    <w:basedOn w:val="1"/>
    <w:qFormat/>
    <w:uiPriority w:val="99"/>
    <w:rPr>
      <w:sz w:val="32"/>
      <w:szCs w:val="32"/>
    </w:rPr>
  </w:style>
  <w:style w:type="paragraph" w:styleId="5">
    <w:name w:val="Normal (Web)"/>
    <w:basedOn w:val="1"/>
    <w:next w:val="6"/>
    <w:qFormat/>
    <w:uiPriority w:val="0"/>
    <w:pPr>
      <w:spacing w:before="100" w:beforeAutospacing="1" w:after="100" w:afterAutospacing="1"/>
      <w:jc w:val="left"/>
    </w:pPr>
    <w:rPr>
      <w:rFonts w:ascii="宋体"/>
      <w:sz w:val="24"/>
    </w:rPr>
  </w:style>
  <w:style w:type="paragraph" w:styleId="6">
    <w:name w:val="Balloon Text"/>
    <w:basedOn w:val="1"/>
    <w:next w:val="1"/>
    <w:semiHidden/>
    <w:qFormat/>
    <w:uiPriority w:val="0"/>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character" w:styleId="10">
    <w:name w:val="Strong"/>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1655</Words>
  <Characters>1701</Characters>
  <Lines>0</Lines>
  <Paragraphs>0</Paragraphs>
  <TotalTime>1</TotalTime>
  <ScaleCrop>false</ScaleCrop>
  <LinksUpToDate>false</LinksUpToDate>
  <CharactersWithSpaces>1718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2023-06-26T10:29:00Z</dcterms:created>
  <dc:creator>·lenovo</dc:creator>
  <cp:lastModifiedBy>·lenovo</cp:lastModifiedBy>
  <dcterms:modified xsi:type="dcterms:W3CDTF">2023-06-26T10:32:28Z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FCEA9F3C711049859F22371DB1601081_11</vt:lpwstr>
  </property>
</Properties>
</file>