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3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
        <w:gridCol w:w="511"/>
        <w:gridCol w:w="1208"/>
        <w:gridCol w:w="695"/>
        <w:gridCol w:w="684"/>
        <w:gridCol w:w="151"/>
        <w:gridCol w:w="735"/>
        <w:gridCol w:w="765"/>
        <w:gridCol w:w="720"/>
        <w:gridCol w:w="1110"/>
        <w:gridCol w:w="795"/>
        <w:gridCol w:w="1530"/>
        <w:gridCol w:w="2198"/>
        <w:gridCol w:w="192"/>
        <w:gridCol w:w="924"/>
        <w:gridCol w:w="1754"/>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9" w:type="dxa"/>
          <w:wAfter w:w="586" w:type="dxa"/>
          <w:trHeight w:val="720" w:hRule="atLeast"/>
        </w:trPr>
        <w:tc>
          <w:tcPr>
            <w:tcW w:w="13972" w:type="dxa"/>
            <w:gridSpan w:val="15"/>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bookmarkStart w:id="0" w:name="_GoBack"/>
            <w:bookmarkEnd w:id="0"/>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贵州省疾病预防控制中心2024年公开招聘工作人员</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岗位及要求一览表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单位名称</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单位</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代码</w:t>
            </w:r>
          </w:p>
        </w:tc>
        <w:tc>
          <w:tcPr>
            <w:tcW w:w="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岗位名称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岗位代码</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岗位类别</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 xml:space="preserve">招聘人数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考试类别</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考试类别代码</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学历学位要求</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专业</w:t>
            </w:r>
          </w:p>
        </w:tc>
        <w:tc>
          <w:tcPr>
            <w:tcW w:w="111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其他资格条件</w:t>
            </w: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疾病预防控制01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医疗卫生类（E类）公共卫生管理岗位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公共卫生与预防医学（一级学科）、公共卫生</w:t>
            </w:r>
          </w:p>
        </w:tc>
        <w:tc>
          <w:tcPr>
            <w:tcW w:w="111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疾病预防控制02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22828180102</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医疗卫生类（E类）公共卫生管理岗位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公共卫生与预防医学（一级学科）、公共卫生</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2024年度高校毕业生</w:t>
            </w: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疾病预防控制03</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22828180103</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医疗卫生类（E类）西医临床岗位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52</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临床医学（一级学科）</w:t>
            </w:r>
          </w:p>
        </w:tc>
        <w:tc>
          <w:tcPr>
            <w:tcW w:w="111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r>
              <w:rPr>
                <w:rFonts w:hint="eastAsia" w:ascii="宋体" w:hAnsi="宋体" w:eastAsia="宋体" w:cs="宋体"/>
                <w:i w:val="0"/>
                <w:iCs w:val="0"/>
                <w:color w:val="000000"/>
                <w:kern w:val="0"/>
                <w:sz w:val="15"/>
                <w:szCs w:val="15"/>
                <w:highlight w:val="none"/>
                <w:u w:val="none"/>
                <w:lang w:val="en-US" w:eastAsia="zh-CN" w:bidi="ar"/>
              </w:rPr>
              <w:t>对经住院医师规范化培训合格的本科学历临床医师按照硕士研究生同等对待的，本科专业需为临床医学类。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9"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卫生事业管理01</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22828180104</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医疗卫生类（E类）公共卫生管理岗位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公共管理、公共管理学（一级学科）、中国语言文学（一级学科）、马克思主义理论（一级学科）、哲学（一级学科）</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sz w:val="21"/>
                <w:szCs w:val="21"/>
                <w:u w:val="none"/>
                <w:lang w:val="en-US" w:eastAsia="zh-CN"/>
              </w:rPr>
              <w:t>具有2年以上基层工作经历</w:t>
            </w: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仿宋_GB2312" w:hAnsi="仿宋_GB2312" w:eastAsia="仿宋_GB2312" w:cs="仿宋_GB2312"/>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卫生事业管理02</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医疗卫生类（E类）公共卫生管理岗位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公共管理、公共管理学（一级学科）、中国语言文学（一级学科）、马克思主义理论（一级学科）、哲学（一级学科）</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职业卫生</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22828180106</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医疗卫生类（E类）公共卫生管理岗位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核科学与技术（一级学科）、材料学</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本岗位主要从事职业卫生技术服务。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7</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检验</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22828180107</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医疗卫生类（E类）医学技术岗位</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55</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生物学（一级学科）、药学（一级学科）、化学（一级学科）</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本岗位主要从事重大疾病及健康危害因素实验室检测、监测及应急检测等。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计算机</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22828180108</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综合管理类(A类）</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计算机科学与技术（一级学科）、计算机技术、网络空间安全</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9</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财务管理</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22828180109</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综合管理类(A类）</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会计学、会计、审计、应用经济学（一级学科）</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贵州省疾病预防控制中心</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设备管理</w:t>
            </w:r>
          </w:p>
        </w:tc>
        <w:tc>
          <w:tcPr>
            <w:tcW w:w="8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22828180110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专业技术岗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综合管理类(A类）</w:t>
            </w:r>
          </w:p>
        </w:tc>
        <w:tc>
          <w:tcPr>
            <w:tcW w:w="7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15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硕士研究生学历及以上</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电气工程（一级学科）、机械工程（一级学科）、管理科学与工程（一级学科）</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c>
          <w:tcPr>
            <w:tcW w:w="234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val="0"/>
                <w:i w:val="0"/>
                <w:iCs w:val="0"/>
                <w:color w:val="000000"/>
                <w:sz w:val="21"/>
                <w:szCs w:val="21"/>
                <w:u w:val="none"/>
              </w:rPr>
            </w:pPr>
          </w:p>
        </w:tc>
      </w:tr>
    </w:tbl>
    <w:p>
      <w:r>
        <w:rPr>
          <w:rFonts w:hint="eastAsia" w:ascii="Times New Roman" w:hAnsi="Times New Roman" w:eastAsia="仿宋_GB2312" w:cs="Times New Roman"/>
          <w:highlight w:val="none"/>
          <w:lang w:val="en-US" w:eastAsia="zh-CN"/>
        </w:rPr>
        <w:t>注：未注明一级学科的均为具体专业。</w:t>
      </w: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ZTVmZjNhZDA0MzEzNjEwMWQ4OWM2ZDA3YTQzODgifQ=="/>
  </w:docVars>
  <w:rsids>
    <w:rsidRoot w:val="1C0D7171"/>
    <w:rsid w:val="033059D1"/>
    <w:rsid w:val="059F1B5B"/>
    <w:rsid w:val="09BA4874"/>
    <w:rsid w:val="0A6D7D70"/>
    <w:rsid w:val="1C0D7171"/>
    <w:rsid w:val="592E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2024-01-31T08:49:00Z</dcterms:created>
  <dc:creator>元皓有话说</dc:creator>
  <cp:lastModifiedBy>王嘉欢办公</cp:lastModifiedBy>
  <dcterms:modified xsi:type="dcterms:W3CDTF">2024-02-02T01:52:09Z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A7601D3252664F3EA3C7208401DD83F0_11</vt:lpwstr>
  </property>
</Properties>
</file>