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于所学专业与岗位所需专业相近的证明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贵州省第三人民医院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宋体" w:eastAsia="仿宋_GB2312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宋体" w:eastAsia="仿宋_GB2312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宋体" w:eastAsia="仿宋_GB2312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28"/>
        </w:rPr>
        <w:t>校/学院（盖章）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54C4F6-ACE5-4082-A94A-604E6F0BB8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B8BB9C-790E-4918-A699-7B237D1879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C2290C8-8D1C-420B-BA5F-AC1434A18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E5A7880"/>
    <w:rsid w:val="26DE30A6"/>
    <w:rsid w:val="359528C1"/>
    <w:rsid w:val="3667728C"/>
    <w:rsid w:val="38DC70A7"/>
    <w:rsid w:val="6D36685C"/>
    <w:rsid w:val="6E0824EB"/>
    <w:rsid w:val="7B7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163</Words>
  <Characters>163</Characters>
  <Lines>2</Lines>
  <Paragraphs>1</Paragraphs>
  <TotalTime>85</TotalTime>
  <ScaleCrop>false</ScaleCrop>
  <LinksUpToDate>false</LinksUpToDate>
  <CharactersWithSpaces>245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winpink</cp:lastModifiedBy>
  <dcterms:modified xsi:type="dcterms:W3CDTF">2024-04-10T00:27:16Z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E1178AD3046040D29D0D138E02101FE6_13</vt:lpwstr>
  </property>
</Properties>
</file>