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  <w:lang w:val="en-US" w:eastAsia="zh-CN" w:bidi="ar-SA"/>
        </w:rPr>
        <w:t>册亨县2023年银龄讲学计划教师招聘公告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6A6A6A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根据《贵州省教育厅 贵州省财政厅关于印发〈贵州省2023年银龄讲学计划实施方案〉的通知》以及《</w:t>
      </w: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  <w:t>黔西南州教育局关于做好2023年银龄讲学计划有关工作的通知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》（黔西南教师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16号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）要求，为做好我县</w:t>
      </w: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  <w:t>2023年银龄讲学计划教师招聘，现就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有关事宜公告如下：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、目标任务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从202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年秋季学期开始，在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我县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通过面向社会公开招募一批优秀退休教师到农村义务教育学校讲学，帮助农村学校提升教学水平和育人管理能力，发挥退休教师示范引领作用，为农村学校提供智力支持，缓解农村学校优质师资总量不足和结构不合理等矛盾，促进城乡义务教育均衡发展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二、工作要求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6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bookmark9"/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</w:rPr>
        <w:t>（</w:t>
      </w:r>
      <w:bookmarkEnd w:id="0"/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</w:rPr>
        <w:t>一）实施范围</w:t>
      </w: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招募人员为符合资格条件的退休教师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到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册亨县乡镇义务教育学校讲学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6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1" w:name="bookmark10"/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</w:rPr>
        <w:t>（</w:t>
      </w:r>
      <w:bookmarkEnd w:id="1"/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</w:rPr>
        <w:t>二）招募人数</w:t>
      </w: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202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3至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202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4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学年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册亨县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银龄讲学计划讲学教师招募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人。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6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2" w:name="bookmark11"/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</w:rPr>
        <w:t>（</w:t>
      </w:r>
      <w:bookmarkEnd w:id="2"/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</w:rPr>
        <w:t>三）资格条件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3" w:name="bookmark12"/>
      <w:bookmarkEnd w:id="3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政治可靠、师德高尚、爱岗敬业、业务精良；身体健康、甘于奉献、不怕吃苦、作风扎实。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4" w:name="bookmark13"/>
      <w:bookmarkEnd w:id="4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年龄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为：1958年1月1日及以后出生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6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shd w:val="clear" w:color="auto" w:fill="FFFFFF"/>
        </w:rPr>
      </w:pPr>
      <w:bookmarkStart w:id="5" w:name="bookmark14"/>
      <w:bookmarkEnd w:id="5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shd w:val="clear" w:color="auto" w:fill="FFFFFF"/>
          <w:lang w:val="en-US" w:eastAsia="zh-CN"/>
        </w:rPr>
        <w:t>3.原则上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shd w:val="clear" w:color="auto" w:fill="FFFFFF"/>
        </w:rPr>
        <w:t>具有中级及以上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shd w:val="clear" w:color="auto" w:fill="FFFFFF"/>
          <w:lang w:val="en-US" w:eastAsia="zh-CN"/>
        </w:rPr>
        <w:t>职称资格，同等条件下副高级教师优先聘用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shd w:val="clear" w:color="auto" w:fill="FFFFFF"/>
        </w:rPr>
        <w:t>。</w:t>
      </w:r>
      <w:bookmarkStart w:id="6" w:name="bookmark15"/>
      <w:bookmarkEnd w:id="6"/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6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教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育教学经验丰富，具有相应学科教师资格证。</w:t>
      </w:r>
      <w:bookmarkStart w:id="7" w:name="bookmark16"/>
      <w:bookmarkEnd w:id="7"/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6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以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校长、教研员、特级教师、骨干教师为主。</w:t>
      </w:r>
      <w:bookmarkStart w:id="8" w:name="bookmark17"/>
      <w:bookmarkEnd w:id="8"/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6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原单位返聘退休教师工作不列入银龄讲学计划。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6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bookmarkStart w:id="9" w:name="bookmark18"/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</w:rPr>
        <w:t>（</w:t>
      </w:r>
      <w:bookmarkEnd w:id="9"/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</w:rPr>
        <w:t>四）岗位职责</w:t>
      </w: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按照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“需求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为本、形式灵活”的原则，招募到的讲学校长可以担任受援学校的副校长，指导参与学校的管理工作；讲学教师可以根据自己的专业特长开展以课堂教学为主的讲学活动，同时也可根据受援学校的教育教学需求进行听课评课、开设公开课、研讨课或专题讲座，指导青年教师、协助学校做好教学管理和开展教研活动等丰富多样的讲学活动，发挥示范和辐射作用，带动提升受援学校教育教学和管理水平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6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讲学教师服务时间原则上为1学年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鼓励考核合格的连续讲学，讲学教师需在下一学年连续讲学的，讲学教师应在协议期满前提前2个月向受援县教育局提出书面申请。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三、实施步骤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银龄讲学计划遵循“公开、公平、自愿、择优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和“定校、定岗”原则，讲学教师在全国范围内招募。招募工作按下列程序依次进行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10" w:name="bookmark19"/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</w:rPr>
        <w:t>（</w:t>
      </w:r>
      <w:bookmarkEnd w:id="10"/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</w:rPr>
        <w:t>一）自愿报名。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自愿参加银龄讲学计划的退休教师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到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册亨县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教育局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人事股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报名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报名时间:2023年8月21日至8月22日（上午9点至12点，下午3点至6点），联系电话：0859-4211713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bookmarkStart w:id="11" w:name="bookmark21"/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</w:rPr>
        <w:t>（</w:t>
      </w:r>
      <w:bookmarkEnd w:id="11"/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</w:rPr>
        <w:t>）资格审核或遴选。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教育局对通过资格审核的报名人员根据岗位需求进行审核，当同一岗位有多人报名时，按照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遴选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评分细则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”进行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评分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遴选，对服从调配的报名人员，进行岗位调配。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</w:rPr>
        <w:t>遴选</w:t>
      </w: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评分细则。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1.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退休时的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职称</w:t>
      </w:r>
      <w:r>
        <w:rPr>
          <w:rFonts w:hint="eastAsia" w:ascii="仿宋" w:hAnsi="仿宋" w:eastAsia="仿宋"/>
          <w:b/>
          <w:bCs/>
          <w:sz w:val="32"/>
          <w:szCs w:val="32"/>
        </w:rPr>
        <w:t>任职年限（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b/>
          <w:bCs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任职年限1年为0.5分，可累计加分，最高任职年限为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0年，超过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0年不再累计加分。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提供职称任职文件或聘任证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2.工作年限（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b/>
          <w:bCs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工作年限1年为0.5分，可累计加分，最高任职年限为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0年，超过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0年不再累计加分。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提供参加工作文件及退休文件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3.评优评模（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bCs/>
          <w:sz w:val="32"/>
          <w:szCs w:val="32"/>
        </w:rPr>
        <w:t>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退休时</w:t>
      </w:r>
      <w:r>
        <w:rPr>
          <w:rFonts w:hint="eastAsia" w:ascii="仿宋" w:hAnsi="仿宋" w:eastAsia="仿宋"/>
          <w:sz w:val="32"/>
          <w:szCs w:val="32"/>
        </w:rPr>
        <w:t>职</w:t>
      </w:r>
      <w:r>
        <w:rPr>
          <w:rFonts w:hint="eastAsia" w:ascii="仿宋" w:hAnsi="仿宋" w:eastAsia="仿宋"/>
          <w:sz w:val="32"/>
          <w:szCs w:val="32"/>
          <w:lang w:eastAsia="zh-CN"/>
        </w:rPr>
        <w:t>称任职</w:t>
      </w:r>
      <w:r>
        <w:rPr>
          <w:rFonts w:hint="eastAsia" w:ascii="仿宋" w:hAnsi="仿宋" w:eastAsia="仿宋"/>
          <w:sz w:val="32"/>
          <w:szCs w:val="32"/>
        </w:rPr>
        <w:t>以来：获国家级表彰的，每获表彰一次为6分；获省级表彰的，每获表彰一次为4分；获州级表彰的，每获表彰一次为3分；获县级表彰的，每获表彰一次为2分；获乡科级表彰的，每获表彰一次为0.5分；以上各级表彰均指国家正式编制单位颁发的证书；此项分值最高分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0分，累计超过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0分的只算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 论文（2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bCs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退休时</w:t>
      </w:r>
      <w:r>
        <w:rPr>
          <w:rFonts w:hint="eastAsia" w:ascii="仿宋" w:hAnsi="仿宋" w:eastAsia="仿宋"/>
          <w:sz w:val="32"/>
          <w:szCs w:val="32"/>
        </w:rPr>
        <w:t>职</w:t>
      </w:r>
      <w:r>
        <w:rPr>
          <w:rFonts w:hint="eastAsia" w:ascii="仿宋" w:hAnsi="仿宋" w:eastAsia="仿宋"/>
          <w:sz w:val="32"/>
          <w:szCs w:val="32"/>
          <w:lang w:eastAsia="zh-CN"/>
        </w:rPr>
        <w:t>称任职</w:t>
      </w:r>
      <w:r>
        <w:rPr>
          <w:rFonts w:hint="eastAsia" w:ascii="仿宋" w:hAnsi="仿宋" w:eastAsia="仿宋"/>
          <w:sz w:val="32"/>
          <w:szCs w:val="32"/>
        </w:rPr>
        <w:t>以来：获国家级一等奖3分，获二等奖2分，获三等奖1分；获省级一等奖2.5分，获二等奖1.5分，获三等奖1分；获州级一等奖2分，获二等奖1分，获三等奖0.5分；获县教育局评为一等奖的1.5分，获二等奖的1分，获三等奖0.5分。以上各等级奖项均指国家正式编制单位颁发的奖状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此项分值最高分为2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分，累计超过2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分的只算2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分。</w:t>
      </w:r>
    </w:p>
    <w:p>
      <w:pPr>
        <w:pStyle w:val="2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以上材料在报名时提供原件审核及复印件一份。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</w:rPr>
        <w:t>）</w:t>
      </w: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体检</w:t>
      </w: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评分在前3名的教师于8月24日上午8点到县人民医院体检（或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提供近六个月体检报告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），费用自理。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12" w:name="bookmark22"/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</w:rPr>
        <w:t>（</w:t>
      </w:r>
      <w:bookmarkEnd w:id="12"/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</w:rPr>
        <w:t>）公示公布。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教育局对通过资格审核后确定岗位的拟招募讲学教师进行网上公示（公示期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5个工作日），公示无异议，确定为当年度讲学教师。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7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13" w:name="bookmark23"/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</w:rPr>
        <w:t>（</w:t>
      </w:r>
      <w:bookmarkEnd w:id="13"/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六</w:t>
      </w: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</w:rPr>
        <w:t>）签订协议。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县教育局与拟招募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的讲学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教师签订银龄讲学服务协议（见附件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）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协议一年一签，明确双方的权利和义务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讲学教师服务期间，由县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教育局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对其进行跟踪评估，对不按协议要求履行义务的，或因身体原因不适合继续讲学的，予以解除协议。在新冠肺炎疫情未解除之前，所有拟招募讲学教师按规定出示“健康码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”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并落实当地疫情防控的各项要求。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7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14" w:name="bookmark24"/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</w:rPr>
        <w:t>（</w:t>
      </w:r>
      <w:bookmarkEnd w:id="14"/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七</w:t>
      </w: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32"/>
          <w:szCs w:val="32"/>
        </w:rPr>
        <w:t>）上岗任教。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县教育局和受援学校按照服务协议安排讲学教师于202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年秋季学期开学前上岗，做好管理服务和考核工作。讲学教师根据有关规定上岗任教，履行岗位职责。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2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15" w:name="bookmark25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四</w:t>
      </w:r>
      <w:bookmarkEnd w:id="15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、政策保障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16" w:name="bookmark26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（</w:t>
      </w:r>
      <w:bookmarkEnd w:id="16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一）讲学教师服务期间人事关系、现享受的退休待遇不变。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讲学教师工作经费由中央财政负担，年人均2万元，按每学期人均1万元下拨到各受援县教育局。工作经费主要用于向讲学教师发放工作补助、交通差旅费及购买意外保险费等补助。县教育局统一为讲学教师购买意外保险，费用从工作经费中扣除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bookmarkStart w:id="17" w:name="bookmark27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（</w:t>
      </w:r>
      <w:bookmarkEnd w:id="17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二）讲学教师因病因伤发生的医疗费用，按本人医疗关系和有关规定办理。对于讲学期间表现优秀的，在评优表彰等方面优先考虑，可按照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受援学校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有关规定给予表彰、奖励。对于讲学期间考核不称职或存在问题的，按照有关规定处理。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center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                               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center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                               册亨县教育局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righ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2023年8月</w:t>
      </w:r>
      <w:r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日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righ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26" w:name="_GoBack"/>
      <w:bookmarkEnd w:id="26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银龄讲学服务协议书</w:t>
      </w: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4465"/>
          <w:tab w:val="left" w:pos="51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受援单位：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（以下简称甲方）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4465"/>
          <w:tab w:val="left" w:pos="51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讲学教师：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（以下简称乙方）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729"/>
          <w:tab w:val="left" w:pos="2528"/>
          <w:tab w:val="left" w:pos="4076"/>
          <w:tab w:val="left" w:pos="8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为帮助农村学校提升教学水平和育人管理能力，发挥退休教师示范引领作用，为农村学校提供智力支持，缓解农村学校优质师资总量不足和结构不合理等矛盾，促进城乡义务教育均衡发展。根据国家和省有关文件要求，招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老师到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729"/>
          <w:tab w:val="left" w:pos="2528"/>
          <w:tab w:val="left" w:pos="4076"/>
          <w:tab w:val="left" w:pos="8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县（市、区）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学校从事讲学工作。从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月起至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月止。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为切实做好讲学工作，规范双方在讲学期间的权利和义务，结合实际，双方签订本协议并共同遵照执行。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18" w:name="bookmark41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一</w:t>
      </w:r>
      <w:bookmarkEnd w:id="18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、甲方权利及义务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4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9" w:name="bookmark42"/>
      <w:bookmarkEnd w:id="19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做好接送工作，确保乙方及时、安全、顺利到岗开始工作；乙方圆满完成讲学工作任务后，为其出具客观、公正、合理的评鉴意见。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4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20" w:name="bookmark43"/>
      <w:bookmarkEnd w:id="20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  <w:t>2.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好后勤保障工作，为乙方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提供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周转宿舍，配备必要的生活设施，帮助解决其具体困难，确保乙方安心工作。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4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21" w:name="bookmark44"/>
      <w:bookmarkEnd w:id="21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做好安全保障等工作，积极落实为乙方购买人身意外伤害保险等，在乙方讲学期间发生意外或伤病时给予帮助，乙方因病因伤发生的医疗费用，按本人医疗关系和有关规定办理。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22" w:name="bookmark45"/>
      <w:bookmarkEnd w:id="22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组织管理乙方按照相关规定开展并完成讲学工作。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23" w:name="bookmark46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二</w:t>
      </w:r>
      <w:bookmarkEnd w:id="23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、乙方权利及义务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1.服务时间原则上为1学年。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.按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照甲方规定时间按时报到。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4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bookmarkStart w:id="24" w:name="bookmark47"/>
      <w:bookmarkEnd w:id="24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自觉服从甲方管理，遵守甲方规章制度，维护甲方和本人形象。</w:t>
      </w:r>
      <w:bookmarkStart w:id="25" w:name="bookmark48"/>
      <w:bookmarkEnd w:id="25"/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4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讲学校长可以担任受援学校的副校长，指导参与学校的管理工作；讲学教师可以根据自己的专业特长开展以课堂教学为主的讲学活动，同时也可根据受援学校的教育教学需求进行听课评课、开设公开课、研讨课或专题讲座，指导青年教师、协助学校做好教学管理和开展教研活动等丰富多样的讲学活动，发挥示范和辐射作用，带动提升受援学校教育教学和管理水平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因伤病或其他特殊原因请假5天内，需甲方批准方可离开；请假6至10天，需报受援县教育行政部门批准；请假10天以上或不能坚持工作到讲学任务结束，需报甲方上级教育行政部门批准，并及时上报省教育厅。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三、其他事宜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lef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本协议书一式两份，双方各持一份，签字盖章后生效</w:t>
      </w:r>
      <w:r>
        <w:rPr>
          <w:color w:val="000000"/>
          <w:spacing w:val="0"/>
          <w:w w:val="100"/>
          <w:position w:val="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甲方：受援单位（公章）：         乙方：（讲学教师）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年  月  日                     年  月  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417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OGNhMTJlNjgzMzgzMDU5YzY2MDQxOGVhZGZlMjUifQ=="/>
  </w:docVars>
  <w:rsids>
    <w:rsidRoot w:val="00000000"/>
    <w:rsid w:val="177D4217"/>
    <w:rsid w:val="5362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33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2881</Words>
  <Characters>2986</Characters>
  <Paragraphs>69</Paragraphs>
  <TotalTime>16</TotalTime>
  <ScaleCrop>false</ScaleCrop>
  <LinksUpToDate>false</LinksUpToDate>
  <CharactersWithSpaces>3171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2021-07-26T09:09:00Z</dcterms:created>
  <dc:creator>a</dc:creator>
  <cp:lastModifiedBy>册亨县政府办公文收发员</cp:lastModifiedBy>
  <cp:lastPrinted>2021-08-16T07:51:00Z</cp:lastPrinted>
  <dcterms:modified xsi:type="dcterms:W3CDTF">2023-08-20T03:40:30Z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EEBC8BA1BD2040539C8A91A35B551FAE_13</vt:lpwstr>
  </property>
</Properties>
</file>