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黑体" w:eastAsia="黑体" w:cs="黑体" w:hint="eastAsia"/>
          <w:sz w:val="36"/>
          <w:szCs w:val="36"/>
          <w:lang w:eastAsia="zh-CN"/>
        </w:rPr>
      </w:pPr>
      <w:r>
        <w:rPr>
          <w:rFonts w:ascii="黑体" w:eastAsia="黑体" w:cs="黑体" w:hint="eastAsia"/>
          <w:sz w:val="32"/>
          <w:szCs w:val="32"/>
          <w:lang w:eastAsia="zh-CN"/>
        </w:rPr>
        <w:t>附件</w:t>
      </w:r>
    </w:p>
    <w:p>
      <w:pPr>
        <w:jc w:val="center"/>
        <w:rPr>
          <w:rFonts w:ascii="黑体" w:eastAsia="黑体" w:cs="黑体"/>
          <w:color w:val="auto"/>
          <w:sz w:val="44"/>
          <w:szCs w:val="44"/>
        </w:rPr>
      </w:pPr>
      <w:r>
        <w:rPr>
          <w:rFonts w:ascii="黑体" w:eastAsia="黑体" w:cs="黑体" w:hint="eastAsia"/>
          <w:color w:val="auto"/>
          <w:sz w:val="44"/>
          <w:szCs w:val="44"/>
        </w:rPr>
        <w:t>关于调整</w:t>
      </w:r>
      <w:r>
        <w:rPr>
          <w:rFonts w:ascii="黑体" w:eastAsia="黑体" w:cs="黑体"/>
          <w:color w:val="auto"/>
          <w:sz w:val="44"/>
          <w:szCs w:val="44"/>
        </w:rPr>
        <w:t>来（返</w:t>
      </w:r>
      <w:bookmarkStart w:id="0" w:name="_GoBack"/>
      <w:bookmarkEnd w:id="0"/>
      <w:r>
        <w:rPr>
          <w:rFonts w:ascii="黑体" w:eastAsia="黑体" w:cs="黑体"/>
          <w:color w:val="auto"/>
          <w:sz w:val="44"/>
          <w:szCs w:val="44"/>
        </w:rPr>
        <w:t>）</w:t>
      </w:r>
      <w:r>
        <w:rPr>
          <w:rFonts w:ascii="黑体" w:eastAsia="黑体" w:cs="黑体" w:hint="eastAsia"/>
          <w:color w:val="auto"/>
          <w:sz w:val="44"/>
          <w:szCs w:val="44"/>
        </w:rPr>
        <w:t>筑人员健康管理措施的通告</w:t>
      </w:r>
    </w:p>
    <w:p>
      <w:pPr>
        <w:jc w:val="center"/>
        <w:rPr>
          <w:rFonts w:ascii="黑体" w:eastAsia="黑体" w:cs="黑体" w:hint="eastAsia"/>
          <w:color w:val="auto"/>
          <w:sz w:val="44"/>
          <w:szCs w:val="44"/>
        </w:rPr>
      </w:pPr>
      <w:r>
        <w:rPr>
          <w:rFonts w:ascii="黑体" w:eastAsia="黑体" w:cs="黑体" w:hint="eastAsia"/>
          <w:color w:val="auto"/>
          <w:sz w:val="44"/>
          <w:szCs w:val="44"/>
        </w:rPr>
        <w:t>（2022年10月</w:t>
      </w:r>
      <w:r>
        <w:rPr>
          <w:rFonts w:ascii="黑体" w:eastAsia="黑体" w:cs="黑体"/>
          <w:color w:val="auto"/>
          <w:sz w:val="44"/>
          <w:szCs w:val="44"/>
        </w:rPr>
        <w:t>26</w:t>
      </w:r>
      <w:r>
        <w:rPr>
          <w:rFonts w:ascii="黑体" w:eastAsia="黑体" w:cs="黑体" w:hint="eastAsia"/>
          <w:color w:val="auto"/>
          <w:sz w:val="44"/>
          <w:szCs w:val="44"/>
        </w:rPr>
        <w:t>日）</w:t>
      </w:r>
    </w:p>
    <w:p>
      <w:pPr>
        <w:rPr>
          <w:rFonts w:hint="eastAsia"/>
        </w:rPr>
      </w:pPr>
    </w:p>
    <w:p>
      <w:pPr>
        <w:pStyle w:val="17"/>
        <w:spacing w:before="0" w:beforeAutospacing="0" w:after="0" w:afterAutospacing="0" w:line="560" w:lineRule="exact"/>
        <w:ind w:left="0" w:firstLineChars="150" w:firstLine="523"/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目前，国内、省内疫情形势依然严峻，为落实好“外防输入、内防反弹”的疫情防控措施，应对疫情发展的新形势，根据省疫情防控有关文件要求，结合专家研判意见，对来（返）筑防控措施进行适当调整，现将最新防控措施通告如下：</w:t>
      </w:r>
    </w:p>
    <w:p>
      <w:pPr>
        <w:pStyle w:val="17"/>
        <w:spacing w:before="0" w:beforeAutospacing="0" w:after="0" w:afterAutospacing="0" w:line="560" w:lineRule="exact"/>
        <w:ind w:firstLineChars="200" w:firstLine="697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一、所有来（返）筑人员须提前通过“贵州健康码”小程序和电话方式向目的地社区报备。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　　二、对7天内有西藏自治区，新疆维吾尔自治区，宁夏回族自治区，内蒙古呼和浩特市和包头市，陕西西安市和渭南市，山西运城市和大同市，云南西双版纳州和德宏州，四川泸州市、南充市和成都市武侯区，重庆市渝北区和沙坪坝区，湖南湘西州，湖北武汉市，广东广州花都区和深圳宝安区、福田区、南山区等疫情重点地区（除中高风险区外）旅居史的来（返）筑人员，实行“3+4+5+1”（3天集中隔离+4天居家健康监测+5次核酸检测+1次抗原检测）健康管理措施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　　三、对来自全国高中风险地区、红黄码人员，按照《新型冠状病毒肺炎防控方案（第九版）》管控。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681"/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四、除上述地区外，对7天内有市外旅居史的来（返）筑人员，须查验48小时内核酸检测阴性证明。</w:t>
      </w:r>
    </w:p>
    <w:p>
      <w:pPr>
        <w:pStyle w:val="17"/>
        <w:spacing w:before="0" w:beforeAutospacing="0" w:after="0" w:afterAutospacing="0" w:line="560" w:lineRule="exact"/>
        <w:ind w:left="0" w:firstLine="681"/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（一）通过公路检查服务站入筑的，持有48小时核酸检测阴性证明的，立即放行，督促其到达居住地（目的地）后立即就近落实“入筑即检”；无证明的，现场落实“入筑即检”（抗原检测+核酸采样），抗原检测结果阴性后放行。</w:t>
      </w:r>
    </w:p>
    <w:p>
      <w:pPr>
        <w:pStyle w:val="17"/>
        <w:spacing w:before="0" w:beforeAutospacing="0" w:after="0" w:afterAutospacing="0" w:line="560" w:lineRule="exact"/>
        <w:ind w:left="0" w:firstLine="681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（二）通过“一场三站”等交通场站入筑的，在场站实施“入筑即检”；持有48小时核酸检测证明的，核酸采样后有序通行；无证明的，同步开展抗原检测+核酸采样，抗原检测结果阴性后放行。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Chars="200" w:firstLine="697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（三）对省外有本土疫情报告且存在社区传播风险的地级市（以下简称其他涉疫地区）人员抵筑后，实行严格的“3天居家健康监测+4天自我健康监测+5次核酸检测（分别在第1、2、3、5、7天）”。此类人员居家健康监测期间，实行“黄码”管理，原则上居家不外出，仅能在做好个人防护的前提下，自行前往“黄码”人员核酸采样点进行采样，途中不得乘坐公交、地铁；如有共同居住人员，须在居家健康监测期间同步开展每日核酸检测。完成3天居家健康监测且核酸检测结果均为阴性的，实行“绿码”管理，在做好个人防护的前提下，可正常上班上学，有序流动。自我健康监测期间，一旦出现发热、乏力、咳嗽等疑似症状时，须立即前往就近医疗机构规范就诊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Chars="200" w:firstLine="697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（四）省外其他地区入筑人员，抵筑后实行“三天三检”（分别在第1天、第2天、第3天各开展一次核酸检测，每天的核酸采样时间尽量固定）；抵筑后7天内，须自觉做好自我健康监测，尽量避免参加聚餐聚会和到人员密集的公共场所。未按时完成核酸检测的，实行“黄码”管理，原则上居家不外出，仅能在做好个人防护的前提下，自行前往“黄码”人员核酸采样点进行采样；采样完成后，须立即返回居住地或酒店等待核酸检测结果；结果为阴性的，转为“绿码”管理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Chars="200" w:firstLine="697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五、集中隔离费用由本人自行承担。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　　每个人是自己健康的第一责任人。不主动报备、隐瞒行踪、不配合相关健康管理措施的入筑人员，将根据相关法律法规严肃追究法律责任。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　　本通告自2022年10月27日起实施，以上健康管理措施将根据疫情形势，适时进行动态调整。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Microsoft Yahei" w:eastAsia="仿宋_GB2312" w:hAnsi="Microsoft Yahei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Microsoft Yahei" w:eastAsia="仿宋_GB2312" w:hAnsi="Microsoft Yahei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 xml:space="preserve">   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Microsoft Yahei" w:eastAsia="仿宋_GB2312" w:hAnsi="Microsoft Yahei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Chars="650" w:firstLine="2266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Microsoft Yahei" w:eastAsia="仿宋_GB2312" w:hAnsi="Microsoft Yahei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 xml:space="preserve">           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贵阳市疫情防控现场处置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Microsoft Yahei" w:eastAsia="仿宋_GB2312" w:hAnsi="Microsoft Yahei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 xml:space="preserve">                                     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省市联动指挥部</w:t>
      </w:r>
    </w:p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 w:firstLineChars="1400" w:firstLine="488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14"/>
          <w:sz w:val="32"/>
          <w:szCs w:val="32"/>
        </w:rPr>
        <w:t>2022年10月26日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仿宋_GB2312" w:eastAsia="仿宋_GB2312" w:cs="仿宋_GB2312" w:hint="eastAsia"/>
          <w:sz w:val="32"/>
          <w:szCs w:val="32"/>
        </w:rPr>
      </w:pPr>
    </w:p>
    <w:sectPr>
      <w:footerReference w:type="default" r:id="rId2"/>
      <w:pgSz w:w="11907" w:h="16840"/>
      <w:pgMar w:top="1814" w:right="1474" w:bottom="1928" w:left="1588" w:header="851" w:footer="992" w:gutter="0"/>
      <w:pgNumType w:fmt="numberInDash"/>
      <w:rtlGutter/>
      <w:docGrid w:type="linesAndChars" w:linePitch="319" w:charSpace="1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Microsoft Yahei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2313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72313" cy="26476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29.315998pt;height:20.84764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mEwNWQzNGU4N2FkZDhlYjA5N2YyOGMwZGZmOGM0NG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Yozo_Office27021597764231179</Application>
  <Pages>3</Pages>
  <Words>1304</Words>
  <Characters>1333</Characters>
  <Lines>65</Lines>
  <Paragraphs>18</Paragraphs>
  <CharactersWithSpaces>1392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风景线</dc:creator>
  <cp:lastModifiedBy>ysgz</cp:lastModifiedBy>
  <cp:revision>1</cp:revision>
  <cp:lastPrinted>2022-10-19T07:34:00Z</cp:lastPrinted>
  <dcterms:created xsi:type="dcterms:W3CDTF">2022-10-19T06:51:00Z</dcterms:created>
  <dcterms:modified xsi:type="dcterms:W3CDTF">2022-10-28T02:40:36Z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D15272E5257547329C3409D453010368</vt:lpwstr>
  </property>
</Properties>
</file>